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6E14E6" w:rsidRDefault="00961075" w:rsidP="00B7000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proofErr w:type="spellStart"/>
            <w:r w:rsidR="00655B82" w:rsidRPr="00655B82">
              <w:rPr>
                <w:b/>
                <w:sz w:val="28"/>
                <w:szCs w:val="28"/>
              </w:rPr>
              <w:t>Люм</w:t>
            </w:r>
            <w:r w:rsidR="00C35E4B">
              <w:rPr>
                <w:b/>
                <w:sz w:val="28"/>
                <w:szCs w:val="28"/>
              </w:rPr>
              <w:t>б</w:t>
            </w:r>
            <w:r w:rsidR="00655B82" w:rsidRPr="00655B82">
              <w:rPr>
                <w:b/>
                <w:sz w:val="28"/>
                <w:szCs w:val="28"/>
              </w:rPr>
              <w:t>альная</w:t>
            </w:r>
            <w:proofErr w:type="spellEnd"/>
            <w:r w:rsidR="00655B82" w:rsidRPr="00655B82">
              <w:rPr>
                <w:b/>
                <w:sz w:val="28"/>
                <w:szCs w:val="28"/>
              </w:rPr>
              <w:t xml:space="preserve"> пункция и </w:t>
            </w:r>
            <w:r w:rsidR="00EC5E78">
              <w:rPr>
                <w:b/>
                <w:sz w:val="28"/>
                <w:szCs w:val="28"/>
              </w:rPr>
              <w:t xml:space="preserve">постановка </w:t>
            </w:r>
            <w:proofErr w:type="spellStart"/>
            <w:r w:rsidR="00EC5E78">
              <w:rPr>
                <w:b/>
                <w:sz w:val="28"/>
                <w:szCs w:val="28"/>
              </w:rPr>
              <w:t>назогастрального</w:t>
            </w:r>
            <w:proofErr w:type="spellEnd"/>
            <w:r w:rsidR="00EC5E78">
              <w:rPr>
                <w:b/>
                <w:sz w:val="28"/>
                <w:szCs w:val="28"/>
              </w:rPr>
              <w:t xml:space="preserve"> зонда в </w:t>
            </w:r>
            <w:proofErr w:type="spellStart"/>
            <w:r w:rsidR="00655B82" w:rsidRPr="00655B82">
              <w:rPr>
                <w:b/>
                <w:sz w:val="28"/>
                <w:szCs w:val="28"/>
              </w:rPr>
              <w:t>общеврачебн</w:t>
            </w:r>
            <w:r w:rsidR="00EC5E78">
              <w:rPr>
                <w:b/>
                <w:sz w:val="28"/>
                <w:szCs w:val="28"/>
              </w:rPr>
              <w:t>ой</w:t>
            </w:r>
            <w:proofErr w:type="spellEnd"/>
            <w:r w:rsidR="00655B82" w:rsidRPr="00655B82">
              <w:rPr>
                <w:b/>
                <w:sz w:val="28"/>
                <w:szCs w:val="28"/>
              </w:rPr>
              <w:t xml:space="preserve"> практике</w:t>
            </w:r>
            <w:r w:rsidR="00B70005" w:rsidRPr="00B70005">
              <w:rPr>
                <w:b/>
                <w:bCs/>
                <w:iCs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</w:t>
      </w:r>
      <w:proofErr w:type="gramStart"/>
      <w:r w:rsidRPr="00B039E9">
        <w:t>ВО</w:t>
      </w:r>
      <w:proofErr w:type="gramEnd"/>
      <w:r w:rsidRPr="00B039E9">
        <w:t xml:space="preserve">) </w:t>
      </w:r>
      <w:proofErr w:type="gramStart"/>
      <w:r w:rsidRPr="00B039E9">
        <w:t>по</w:t>
      </w:r>
      <w:proofErr w:type="gramEnd"/>
      <w:r w:rsidRPr="00B039E9">
        <w:t xml:space="preserve"> специальности </w:t>
      </w:r>
      <w:r w:rsidR="001E0423">
        <w:t>31</w:t>
      </w:r>
      <w:r w:rsidR="00961075">
        <w:t>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="001E0423">
        <w:t xml:space="preserve"> октября 2014 г. №34506;</w:t>
      </w:r>
    </w:p>
    <w:p w:rsidR="00DE641D" w:rsidRPr="00DE641D" w:rsidRDefault="001E0423" w:rsidP="00DE641D">
      <w:pPr>
        <w:jc w:val="both"/>
        <w:rPr>
          <w:bCs/>
          <w:iCs/>
        </w:rPr>
      </w:pPr>
      <w:r>
        <w:rPr>
          <w:bCs/>
          <w:iCs/>
        </w:rPr>
        <w:t>по с</w:t>
      </w:r>
      <w:r w:rsidR="007526DF">
        <w:rPr>
          <w:bCs/>
          <w:iCs/>
        </w:rPr>
        <w:t>пециальност</w:t>
      </w:r>
      <w:r>
        <w:rPr>
          <w:bCs/>
          <w:iCs/>
        </w:rPr>
        <w:t>и</w:t>
      </w:r>
      <w:r w:rsidR="007526DF">
        <w:rPr>
          <w:bCs/>
          <w:iCs/>
        </w:rPr>
        <w:t xml:space="preserve">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 w:rsidR="007526DF">
        <w:t>. № 34506</w:t>
      </w:r>
      <w:r>
        <w:t>;</w:t>
      </w:r>
    </w:p>
    <w:p w:rsidR="00DE641D" w:rsidRPr="00DE641D" w:rsidRDefault="001E0423" w:rsidP="00DE641D">
      <w:pPr>
        <w:jc w:val="both"/>
      </w:pPr>
      <w:r>
        <w:rPr>
          <w:color w:val="000000"/>
          <w:shd w:val="clear" w:color="auto" w:fill="FFFFFF"/>
        </w:rPr>
        <w:t>п</w:t>
      </w:r>
      <w:r w:rsidR="00DE641D" w:rsidRPr="00DE641D">
        <w:rPr>
          <w:color w:val="000000"/>
          <w:shd w:val="clear" w:color="auto" w:fill="FFFFFF"/>
        </w:rPr>
        <w:t>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="00DE641D"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="00DE641D"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lastRenderedPageBreak/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ОП </w:t>
      </w:r>
      <w:proofErr w:type="gramStart"/>
      <w:r w:rsidRPr="00B039E9">
        <w:t>обсуждена</w:t>
      </w:r>
      <w:proofErr w:type="gramEnd"/>
      <w:r w:rsidRPr="00B039E9">
        <w:t xml:space="preserve">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B07A79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proofErr w:type="gramStart"/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</w:t>
      </w:r>
      <w:proofErr w:type="spellStart"/>
      <w:r w:rsidR="00EC5E78">
        <w:t>Остеопатия</w:t>
      </w:r>
      <w:proofErr w:type="spellEnd"/>
      <w:r w:rsidR="00EC5E78">
        <w:t>»</w:t>
      </w:r>
      <w:r w:rsidR="00961075">
        <w:t xml:space="preserve">,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</w:t>
      </w:r>
      <w:r w:rsidR="001E0423">
        <w:t>,</w:t>
      </w:r>
      <w:r w:rsidR="00EC5E78">
        <w:t xml:space="preserve">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  <w:proofErr w:type="gramEnd"/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7526DF">
        <w:rPr>
          <w:b/>
          <w:bCs/>
        </w:rPr>
        <w:t>«</w:t>
      </w:r>
      <w:proofErr w:type="spellStart"/>
      <w:r w:rsidR="007526DF" w:rsidRPr="007526DF">
        <w:rPr>
          <w:b/>
        </w:rPr>
        <w:t>Люм</w:t>
      </w:r>
      <w:r w:rsidR="00C35E4B">
        <w:rPr>
          <w:b/>
        </w:rPr>
        <w:t>б</w:t>
      </w:r>
      <w:r w:rsidR="007526DF" w:rsidRPr="007526DF">
        <w:rPr>
          <w:b/>
        </w:rPr>
        <w:t>альная</w:t>
      </w:r>
      <w:proofErr w:type="spellEnd"/>
      <w:r w:rsidR="007526DF" w:rsidRPr="007526DF">
        <w:rPr>
          <w:b/>
        </w:rPr>
        <w:t xml:space="preserve"> пункция и </w:t>
      </w:r>
      <w:r w:rsidR="00C805DB">
        <w:rPr>
          <w:b/>
        </w:rPr>
        <w:t xml:space="preserve">постановка </w:t>
      </w:r>
      <w:proofErr w:type="spellStart"/>
      <w:r w:rsidR="00C805DB">
        <w:rPr>
          <w:b/>
        </w:rPr>
        <w:t>назогастрального</w:t>
      </w:r>
      <w:proofErr w:type="spellEnd"/>
      <w:r w:rsidR="00C805DB">
        <w:rPr>
          <w:b/>
        </w:rPr>
        <w:t xml:space="preserve"> зонда в </w:t>
      </w:r>
      <w:proofErr w:type="spellStart"/>
      <w:r w:rsidR="007526DF" w:rsidRPr="007526DF">
        <w:rPr>
          <w:b/>
        </w:rPr>
        <w:t>общеврачебн</w:t>
      </w:r>
      <w:r w:rsidR="00C805DB">
        <w:rPr>
          <w:b/>
        </w:rPr>
        <w:t>ой</w:t>
      </w:r>
      <w:proofErr w:type="spellEnd"/>
      <w:r w:rsidR="00C805DB">
        <w:rPr>
          <w:b/>
        </w:rPr>
        <w:t xml:space="preserve"> практике</w:t>
      </w:r>
      <w:r w:rsidRPr="007526DF">
        <w:rPr>
          <w:b/>
          <w:bCs/>
        </w:rPr>
        <w:t>»</w:t>
      </w:r>
      <w:r w:rsidRPr="007526DF">
        <w:rPr>
          <w:b/>
        </w:rPr>
        <w:t xml:space="preserve"> </w:t>
      </w:r>
      <w:r w:rsidRPr="00BD0BD8">
        <w:rPr>
          <w:b/>
        </w:rPr>
        <w:t xml:space="preserve">со сроком освоения 36 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Pr="00BD0BD8">
              <w:rPr>
                <w:bCs/>
              </w:rPr>
              <w:t>«</w:t>
            </w:r>
            <w:proofErr w:type="spellStart"/>
            <w:r w:rsidR="000C1845" w:rsidRPr="007526DF">
              <w:rPr>
                <w:b/>
              </w:rPr>
              <w:t>Люм</w:t>
            </w:r>
            <w:r w:rsidR="00C35E4B">
              <w:rPr>
                <w:b/>
              </w:rPr>
              <w:t>б</w:t>
            </w:r>
            <w:r w:rsidR="000C1845" w:rsidRPr="007526DF">
              <w:rPr>
                <w:b/>
              </w:rPr>
              <w:t>альная</w:t>
            </w:r>
            <w:proofErr w:type="spellEnd"/>
            <w:r w:rsidR="000C1845" w:rsidRPr="007526DF">
              <w:rPr>
                <w:b/>
              </w:rPr>
              <w:t xml:space="preserve"> пункция и </w:t>
            </w:r>
            <w:r w:rsidR="000C1845">
              <w:rPr>
                <w:b/>
              </w:rPr>
              <w:t xml:space="preserve">постановка </w:t>
            </w:r>
            <w:proofErr w:type="spellStart"/>
            <w:r w:rsidR="000C1845">
              <w:rPr>
                <w:b/>
              </w:rPr>
              <w:t>назогастрального</w:t>
            </w:r>
            <w:proofErr w:type="spellEnd"/>
            <w:r w:rsidR="000C1845">
              <w:rPr>
                <w:b/>
              </w:rPr>
              <w:t xml:space="preserve"> зонда в </w:t>
            </w:r>
            <w:proofErr w:type="spellStart"/>
            <w:r w:rsidR="000C1845" w:rsidRPr="007526DF">
              <w:rPr>
                <w:b/>
              </w:rPr>
              <w:t>общеврачебн</w:t>
            </w:r>
            <w:r w:rsidR="000C1845">
              <w:rPr>
                <w:b/>
              </w:rPr>
              <w:t>ой</w:t>
            </w:r>
            <w:proofErr w:type="spellEnd"/>
            <w:r w:rsidR="000C1845">
              <w:rPr>
                <w:b/>
              </w:rPr>
              <w:t xml:space="preserve"> практике</w:t>
            </w:r>
            <w:r w:rsidRPr="00BD0BD8">
              <w:rPr>
                <w:b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proofErr w:type="spellStart"/>
      <w:r w:rsidR="00961075" w:rsidRPr="00BD0BD8">
        <w:t>ПСПбГМУ</w:t>
      </w:r>
      <w:proofErr w:type="spellEnd"/>
      <w:r w:rsidR="00961075" w:rsidRPr="00BD0BD8">
        <w:t xml:space="preserve">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672BD6" w:rsidP="00DE4FE1">
      <w:pPr>
        <w:ind w:firstLine="708"/>
        <w:jc w:val="both"/>
      </w:pPr>
      <w:proofErr w:type="spellStart"/>
      <w:r>
        <w:t>Люмб</w:t>
      </w:r>
      <w:r w:rsidR="00637D9D">
        <w:t>а</w:t>
      </w:r>
      <w:r>
        <w:t>льная</w:t>
      </w:r>
      <w:proofErr w:type="spellEnd"/>
      <w:r>
        <w:t xml:space="preserve"> пункция и </w:t>
      </w:r>
      <w:proofErr w:type="spellStart"/>
      <w:r>
        <w:t>общеврачебные</w:t>
      </w:r>
      <w:proofErr w:type="spellEnd"/>
      <w:r>
        <w:t xml:space="preserve"> навыки, такие как, установка </w:t>
      </w:r>
      <w:proofErr w:type="spellStart"/>
      <w:r>
        <w:t>назогастрального</w:t>
      </w:r>
      <w:proofErr w:type="spellEnd"/>
      <w:r>
        <w:t xml:space="preserve"> зонда, пальпация молочных желез необходимо осваивать каждому практикующему врачу.</w:t>
      </w:r>
      <w:r w:rsidR="00DE4FE1">
        <w:t xml:space="preserve"> </w:t>
      </w:r>
      <w:r w:rsidR="00EC5E78">
        <w:t xml:space="preserve">Особенно необходимо отметить, что эти навыки являются </w:t>
      </w:r>
      <w:r w:rsidR="00DE4FE1">
        <w:t>наиболее актуальн</w:t>
      </w:r>
      <w:r w:rsidR="00EC5E78">
        <w:t>ым разделом подготовки врачей первичного звена (неврологи, терапевты, врачи общей практики) и специалистами</w:t>
      </w:r>
      <w:r w:rsidR="00D934D8">
        <w:t xml:space="preserve"> стационаров (приемное отделение, отделения интенсивной терапии и пр.)</w:t>
      </w:r>
      <w:r w:rsidR="00DE4FE1">
        <w:t xml:space="preserve">. </w:t>
      </w:r>
      <w:r>
        <w:t>Имеется большое количество патологических состояний, когда показано выполнение процедуры поясничного прокола. Наряду с этим, нарушение глотания, также является актуальной проблемой пациентов с различными проявлениями бульбарного и псевдобульбарного синдрома.</w:t>
      </w:r>
      <w:r w:rsidR="00DE4FE1">
        <w:t xml:space="preserve">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>«Мануальная терапия», «</w:t>
      </w:r>
      <w:proofErr w:type="spellStart"/>
      <w:r w:rsidR="00672BD6">
        <w:t>Остеопатия</w:t>
      </w:r>
      <w:proofErr w:type="spellEnd"/>
      <w:r w:rsidR="00672BD6">
        <w:t xml:space="preserve">» </w:t>
      </w:r>
      <w:r w:rsidRPr="00A601F4">
        <w:t xml:space="preserve">со сроком освоения 36 академических часов </w:t>
      </w:r>
      <w:r w:rsidR="00EC5E78" w:rsidRPr="00A601F4">
        <w:rPr>
          <w:bCs/>
        </w:rPr>
        <w:t>«</w:t>
      </w:r>
      <w:proofErr w:type="spellStart"/>
      <w:r w:rsidR="00EC5E78" w:rsidRPr="007526DF">
        <w:rPr>
          <w:b/>
        </w:rPr>
        <w:t>Люм</w:t>
      </w:r>
      <w:r w:rsidR="00C35E4B">
        <w:rPr>
          <w:b/>
        </w:rPr>
        <w:t>б</w:t>
      </w:r>
      <w:r w:rsidR="00EC5E78" w:rsidRPr="007526DF">
        <w:rPr>
          <w:b/>
        </w:rPr>
        <w:t>альная</w:t>
      </w:r>
      <w:proofErr w:type="spellEnd"/>
      <w:r w:rsidR="00EC5E78" w:rsidRPr="007526DF">
        <w:rPr>
          <w:b/>
        </w:rPr>
        <w:t xml:space="preserve"> пункция и </w:t>
      </w:r>
      <w:r w:rsidR="00EC5E78">
        <w:rPr>
          <w:b/>
        </w:rPr>
        <w:t xml:space="preserve">постановка </w:t>
      </w:r>
      <w:proofErr w:type="spellStart"/>
      <w:r w:rsidR="00EC5E78">
        <w:rPr>
          <w:b/>
        </w:rPr>
        <w:t>назогастрального</w:t>
      </w:r>
      <w:proofErr w:type="spellEnd"/>
      <w:r w:rsidR="00EC5E78">
        <w:rPr>
          <w:b/>
        </w:rPr>
        <w:t xml:space="preserve"> зонда в </w:t>
      </w:r>
      <w:proofErr w:type="spellStart"/>
      <w:r w:rsidR="00EC5E78" w:rsidRPr="007526DF">
        <w:rPr>
          <w:b/>
        </w:rPr>
        <w:t>общеврачебн</w:t>
      </w:r>
      <w:r w:rsidR="00EC5E78">
        <w:rPr>
          <w:b/>
        </w:rPr>
        <w:t>ой</w:t>
      </w:r>
      <w:proofErr w:type="spellEnd"/>
      <w:r w:rsidR="00EC5E78" w:rsidRPr="007526DF">
        <w:rPr>
          <w:b/>
        </w:rPr>
        <w:t xml:space="preserve"> практике</w:t>
      </w:r>
      <w:r w:rsidR="00EC5E78" w:rsidRPr="00A601F4">
        <w:rPr>
          <w:bCs/>
        </w:rPr>
        <w:t>»</w:t>
      </w:r>
      <w:r w:rsidR="00EC5E78" w:rsidRPr="00F371C3">
        <w:t xml:space="preserve"> </w:t>
      </w:r>
      <w:r w:rsidRPr="00A601F4">
        <w:rPr>
          <w:bCs/>
        </w:rPr>
        <w:t xml:space="preserve"> 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 xml:space="preserve">, </w:t>
      </w:r>
      <w:r w:rsidR="00672BD6">
        <w:rPr>
          <w:bCs/>
        </w:rPr>
        <w:t>в необходимых случаях выполнять забор ликвора</w:t>
      </w:r>
      <w:r w:rsidR="0031283D">
        <w:rPr>
          <w:bCs/>
        </w:rPr>
        <w:t xml:space="preserve">, устанавливать </w:t>
      </w:r>
      <w:proofErr w:type="spellStart"/>
      <w:r w:rsidR="0031283D">
        <w:rPr>
          <w:bCs/>
        </w:rPr>
        <w:t>назогастральный</w:t>
      </w:r>
      <w:proofErr w:type="spellEnd"/>
      <w:r w:rsidR="0031283D">
        <w:rPr>
          <w:bCs/>
        </w:rPr>
        <w:t xml:space="preserve"> зонд</w:t>
      </w:r>
      <w:r w:rsidR="00672BD6">
        <w:rPr>
          <w:bCs/>
        </w:rPr>
        <w:t xml:space="preserve"> </w:t>
      </w:r>
      <w:r w:rsidRPr="00A601F4">
        <w:rPr>
          <w:bCs/>
        </w:rPr>
        <w:t xml:space="preserve">и 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31283D" w:rsidP="00DE4FE1">
      <w:pPr>
        <w:ind w:firstLine="708"/>
        <w:jc w:val="both"/>
      </w:pPr>
      <w:r>
        <w:t xml:space="preserve">Манипуляция поясничного прокола имеет важнейшее диагностическое значение. Не менее значимым является установка </w:t>
      </w:r>
      <w:proofErr w:type="spellStart"/>
      <w:r>
        <w:t>назогастрального</w:t>
      </w:r>
      <w:proofErr w:type="spellEnd"/>
      <w:r>
        <w:t xml:space="preserve"> зонда, катетеризация мочевого пузыря. Программа обучения позволяет п</w:t>
      </w:r>
      <w:r w:rsidR="00DE4FE1">
        <w:t>олуч</w:t>
      </w:r>
      <w:r>
        <w:t>ить</w:t>
      </w:r>
      <w:r w:rsidR="00DE4FE1">
        <w:t xml:space="preserve"> знани</w:t>
      </w:r>
      <w:r>
        <w:t>я</w:t>
      </w:r>
      <w:r w:rsidR="00DE4FE1">
        <w:t xml:space="preserve"> о</w:t>
      </w:r>
      <w:r w:rsidR="00BD0BD8" w:rsidRPr="00A601F4">
        <w:t xml:space="preserve"> </w:t>
      </w:r>
      <w:r>
        <w:t xml:space="preserve">показаниях, противопоказаниях, возможных осложнениях </w:t>
      </w:r>
      <w:proofErr w:type="spellStart"/>
      <w:r>
        <w:t>люмбальной</w:t>
      </w:r>
      <w:proofErr w:type="spellEnd"/>
      <w:r>
        <w:t xml:space="preserve"> пункции, интерпретация данных (оценка макроскопических и клинико-лабораторных изменений) цереброспинальной жидкости. Также, изучаются особенности иннервации оральных отделов пищеварительной трубки, понятие о бульбарном и псевдобульбарном параличе, рассматриваются анатомические особенности строения гортани, глотки и механизм развития дисфагий</w:t>
      </w:r>
      <w:r w:rsidR="00DE4FE1">
        <w:t>.</w:t>
      </w:r>
      <w:r w:rsidR="00BD0BD8" w:rsidRPr="00A601F4">
        <w:t xml:space="preserve"> В ходе занятий обсуждаются </w:t>
      </w:r>
      <w:r w:rsidR="00DE4FE1">
        <w:t>механизм</w:t>
      </w:r>
      <w:r w:rsidR="006A3BDB">
        <w:t xml:space="preserve">, </w:t>
      </w:r>
      <w:r w:rsidR="003C66F0">
        <w:t xml:space="preserve">основные причины </w:t>
      </w:r>
      <w:r w:rsidR="006A3BDB">
        <w:t xml:space="preserve">возникновения и симптомы поражения оболочек головного мозга: серозный, гнойный менингит, субарахноидальное кровоизлияние, </w:t>
      </w:r>
      <w:proofErr w:type="spellStart"/>
      <w:r w:rsidR="006A3BDB">
        <w:t>канцероматозное</w:t>
      </w:r>
      <w:proofErr w:type="spellEnd"/>
      <w:r w:rsidR="006A3BDB">
        <w:t xml:space="preserve"> поражение. Рассматриваются клинические особенности и </w:t>
      </w:r>
      <w:proofErr w:type="spellStart"/>
      <w:r w:rsidR="006A3BDB">
        <w:t>синдромология</w:t>
      </w:r>
      <w:proofErr w:type="spellEnd"/>
      <w:r w:rsidR="006A3BDB">
        <w:t xml:space="preserve"> </w:t>
      </w:r>
      <w:proofErr w:type="spellStart"/>
      <w:r w:rsidR="006A3BDB">
        <w:t>менингеального</w:t>
      </w:r>
      <w:proofErr w:type="spellEnd"/>
      <w:r w:rsidR="006A3BDB">
        <w:t xml:space="preserve"> синдрома: особенности </w:t>
      </w:r>
      <w:proofErr w:type="spellStart"/>
      <w:r w:rsidR="006A3BDB">
        <w:t>цефалгии</w:t>
      </w:r>
      <w:proofErr w:type="spellEnd"/>
      <w:r w:rsidR="006A3BDB">
        <w:t xml:space="preserve"> и </w:t>
      </w:r>
      <w:proofErr w:type="spellStart"/>
      <w:r w:rsidR="006A3BDB">
        <w:t>общеинтоксикационного</w:t>
      </w:r>
      <w:proofErr w:type="spellEnd"/>
      <w:r w:rsidR="006A3BDB">
        <w:t xml:space="preserve"> синдрома, синдромов </w:t>
      </w:r>
      <w:proofErr w:type="spellStart"/>
      <w:r w:rsidR="006A3BDB">
        <w:t>Кернига</w:t>
      </w:r>
      <w:proofErr w:type="spellEnd"/>
      <w:r w:rsidR="006A3BDB">
        <w:t xml:space="preserve">, </w:t>
      </w:r>
      <w:proofErr w:type="spellStart"/>
      <w:r w:rsidR="006A3BDB">
        <w:t>Брудзинского</w:t>
      </w:r>
      <w:proofErr w:type="spellEnd"/>
      <w:r w:rsidR="006A3BDB">
        <w:t xml:space="preserve">, ригидность затылочных мышц. Формирование пищевого комка, специфика продвижения по верхним отделам пищеварительной трубки твердой пищи и жидкости. Отрабатываются навыки определения показаний и противопоказаний для выполнения </w:t>
      </w:r>
      <w:proofErr w:type="spellStart"/>
      <w:r w:rsidR="006A3BDB">
        <w:lastRenderedPageBreak/>
        <w:t>люмбальной</w:t>
      </w:r>
      <w:proofErr w:type="spellEnd"/>
      <w:r w:rsidR="006A3BDB">
        <w:t xml:space="preserve"> пункции, постановки </w:t>
      </w:r>
      <w:proofErr w:type="spellStart"/>
      <w:r w:rsidR="006A3BDB">
        <w:t>назогастрального</w:t>
      </w:r>
      <w:proofErr w:type="spellEnd"/>
      <w:r w:rsidR="001E0423">
        <w:t xml:space="preserve"> </w:t>
      </w:r>
      <w:r w:rsidR="006A3BDB">
        <w:t>зонда</w:t>
      </w:r>
      <w:r w:rsidR="00DE4FE1">
        <w:t xml:space="preserve">. </w:t>
      </w:r>
      <w:r w:rsidR="00BD0BD8" w:rsidRPr="00A601F4">
        <w:t xml:space="preserve">Специальное внимание </w:t>
      </w:r>
      <w:r w:rsidR="00DE4FE1">
        <w:t>уделено</w:t>
      </w:r>
      <w:r w:rsidR="001E0423">
        <w:t xml:space="preserve"> </w:t>
      </w:r>
      <w:r w:rsidR="006A3BDB">
        <w:t xml:space="preserve">специфике </w:t>
      </w:r>
      <w:proofErr w:type="spellStart"/>
      <w:r w:rsidR="006A3BDB">
        <w:t>нутритивной</w:t>
      </w:r>
      <w:proofErr w:type="spellEnd"/>
      <w:r w:rsidR="006A3BDB">
        <w:t xml:space="preserve"> поддержки при нарушении глотания, тактике ведения при возникновении осложнений: аспирация, </w:t>
      </w:r>
      <w:proofErr w:type="spellStart"/>
      <w:r w:rsidR="006A3BDB">
        <w:t>постпункционные</w:t>
      </w:r>
      <w:proofErr w:type="spellEnd"/>
      <w:r w:rsidR="006A3BDB">
        <w:t xml:space="preserve"> геморрагические и дислокационные осложнения.</w:t>
      </w:r>
      <w:r w:rsidR="00BD0BD8" w:rsidRPr="00A601F4">
        <w:t xml:space="preserve"> </w:t>
      </w:r>
      <w:r w:rsidR="00BD0BD8" w:rsidRPr="00A601F4">
        <w:rPr>
          <w:bCs/>
        </w:rPr>
        <w:t>Знания и практические навыки, полученные в процессе обучения на цикле, востре</w:t>
      </w:r>
      <w:r w:rsidR="00B81F72">
        <w:rPr>
          <w:bCs/>
        </w:rPr>
        <w:t>бованы в работе</w:t>
      </w:r>
      <w:r w:rsidR="00BD0BD8" w:rsidRPr="00A601F4">
        <w:rPr>
          <w:bCs/>
        </w:rPr>
        <w:t xml:space="preserve"> </w:t>
      </w:r>
      <w:r w:rsidR="006F4E5F">
        <w:rPr>
          <w:bCs/>
        </w:rPr>
        <w:t>невролога, врача семейной медицины</w:t>
      </w:r>
      <w:r w:rsidR="006A3BDB">
        <w:rPr>
          <w:bCs/>
        </w:rPr>
        <w:t>, остеопата, мануального терапевта</w:t>
      </w:r>
      <w:r w:rsidR="00B81F72">
        <w:rPr>
          <w:bCs/>
        </w:rPr>
        <w:t xml:space="preserve"> на этапе </w:t>
      </w:r>
      <w:r w:rsidR="003C00C3">
        <w:rPr>
          <w:bCs/>
        </w:rPr>
        <w:t>амбулаторного лечения и реабилитационного сопровождения</w:t>
      </w:r>
      <w:r w:rsidR="00BD0BD8" w:rsidRPr="00A601F4">
        <w:rPr>
          <w:bCs/>
        </w:rPr>
        <w:t>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 перенесших ОНМК,</w:t>
      </w:r>
      <w:r w:rsidR="000078FD">
        <w:t xml:space="preserve"> нервной-мышечную патологию,</w:t>
      </w:r>
      <w:r w:rsidR="00AD0EB7">
        <w:t xml:space="preserve"> черепно-мозговую травму</w:t>
      </w:r>
      <w:r w:rsidR="000078FD">
        <w:t xml:space="preserve">, выполнение реабилитации после перенесенных повреждений нервной системы. Разработанная программа позволяет отработать практические навыки при подготовке к первичной </w:t>
      </w:r>
      <w:proofErr w:type="spellStart"/>
      <w:r w:rsidR="000078FD">
        <w:t>аккретидатции</w:t>
      </w:r>
      <w:proofErr w:type="spellEnd"/>
      <w:r w:rsidR="000078FD">
        <w:t xml:space="preserve"> и </w:t>
      </w:r>
      <w:proofErr w:type="spellStart"/>
      <w:r w:rsidR="000078FD">
        <w:t>реакретидации</w:t>
      </w:r>
      <w:proofErr w:type="spellEnd"/>
      <w:r w:rsidR="000078FD">
        <w:t xml:space="preserve"> по специальност</w:t>
      </w:r>
      <w:r w:rsidR="00EC5E78">
        <w:t>ям:</w:t>
      </w:r>
      <w:r w:rsidR="000078FD">
        <w:t xml:space="preserve"> неврология, мануальная терапия, </w:t>
      </w:r>
      <w:proofErr w:type="spellStart"/>
      <w:r w:rsidR="000078FD">
        <w:t>остеопатия</w:t>
      </w:r>
      <w:proofErr w:type="spellEnd"/>
      <w:r w:rsidR="000078FD">
        <w:t xml:space="preserve">, </w:t>
      </w:r>
      <w:proofErr w:type="spellStart"/>
      <w:r w:rsidR="000078FD">
        <w:t>общеврачебная</w:t>
      </w:r>
      <w:proofErr w:type="spellEnd"/>
      <w:r w:rsidR="000078FD">
        <w:t xml:space="preserve">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отработка практических навыков с использованием тренажера-манекена, обсуждение показаний, противопоказаний и возможные осложнения при выполнении поясничного прокола, постановки </w:t>
      </w:r>
      <w:proofErr w:type="spellStart"/>
      <w:r w:rsidR="00EC5E78">
        <w:t>назогастрального</w:t>
      </w:r>
      <w:proofErr w:type="spellEnd"/>
      <w:r w:rsidR="00EC5E78">
        <w:t xml:space="preserve"> зонда.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proofErr w:type="spellStart"/>
      <w:r w:rsidR="00EC5E78" w:rsidRPr="007526DF">
        <w:rPr>
          <w:b/>
        </w:rPr>
        <w:t>Люм</w:t>
      </w:r>
      <w:r w:rsidR="00C35E4B">
        <w:rPr>
          <w:b/>
        </w:rPr>
        <w:t>б</w:t>
      </w:r>
      <w:r w:rsidR="00EC5E78" w:rsidRPr="007526DF">
        <w:rPr>
          <w:b/>
        </w:rPr>
        <w:t>альная</w:t>
      </w:r>
      <w:proofErr w:type="spellEnd"/>
      <w:r w:rsidR="00EC5E78" w:rsidRPr="007526DF">
        <w:rPr>
          <w:b/>
        </w:rPr>
        <w:t xml:space="preserve"> пункция и </w:t>
      </w:r>
      <w:r w:rsidR="00EC5E78">
        <w:rPr>
          <w:b/>
        </w:rPr>
        <w:t xml:space="preserve">постановка </w:t>
      </w:r>
      <w:proofErr w:type="spellStart"/>
      <w:r w:rsidR="00EC5E78">
        <w:rPr>
          <w:b/>
        </w:rPr>
        <w:t>назогастрального</w:t>
      </w:r>
      <w:proofErr w:type="spellEnd"/>
      <w:r w:rsidR="00EC5E78">
        <w:rPr>
          <w:b/>
        </w:rPr>
        <w:t xml:space="preserve"> зонда в </w:t>
      </w:r>
      <w:proofErr w:type="spellStart"/>
      <w:r w:rsidR="00EC5E78" w:rsidRPr="007526DF">
        <w:rPr>
          <w:b/>
        </w:rPr>
        <w:t>общеврачебн</w:t>
      </w:r>
      <w:r w:rsidR="00EC5E78">
        <w:rPr>
          <w:b/>
        </w:rPr>
        <w:t>ой</w:t>
      </w:r>
      <w:proofErr w:type="spellEnd"/>
      <w:r w:rsidR="00EC5E78" w:rsidRPr="007526DF">
        <w:rPr>
          <w:b/>
        </w:rPr>
        <w:t xml:space="preserve"> практике</w:t>
      </w:r>
      <w:r w:rsidR="00EC5E78" w:rsidRPr="00A601F4">
        <w:rPr>
          <w:b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lastRenderedPageBreak/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lastRenderedPageBreak/>
        <w:t xml:space="preserve">- способность и готовность к ведению и лечению пациентов с </w:t>
      </w:r>
      <w:r w:rsidR="00AD0EB7">
        <w:t xml:space="preserve">постинсультной </w:t>
      </w:r>
      <w:proofErr w:type="spellStart"/>
      <w:r w:rsidR="00AD0EB7">
        <w:t>спастичностью</w:t>
      </w:r>
      <w:proofErr w:type="spellEnd"/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proofErr w:type="spellStart"/>
      <w:r w:rsidR="00EC5E78" w:rsidRPr="007526DF">
        <w:rPr>
          <w:b/>
        </w:rPr>
        <w:t>Люм</w:t>
      </w:r>
      <w:r w:rsidR="00C35E4B">
        <w:rPr>
          <w:b/>
        </w:rPr>
        <w:t>б</w:t>
      </w:r>
      <w:r w:rsidR="00EC5E78" w:rsidRPr="007526DF">
        <w:rPr>
          <w:b/>
        </w:rPr>
        <w:t>альная</w:t>
      </w:r>
      <w:proofErr w:type="spellEnd"/>
      <w:r w:rsidR="00EC5E78" w:rsidRPr="007526DF">
        <w:rPr>
          <w:b/>
        </w:rPr>
        <w:t xml:space="preserve"> пункция и </w:t>
      </w:r>
      <w:r w:rsidR="00EC5E78">
        <w:rPr>
          <w:b/>
        </w:rPr>
        <w:t xml:space="preserve">постановка </w:t>
      </w:r>
      <w:proofErr w:type="spellStart"/>
      <w:r w:rsidR="00EC5E78">
        <w:rPr>
          <w:b/>
        </w:rPr>
        <w:t>назогастрального</w:t>
      </w:r>
      <w:proofErr w:type="spellEnd"/>
      <w:r w:rsidR="00EC5E78">
        <w:rPr>
          <w:b/>
        </w:rPr>
        <w:t xml:space="preserve"> зонда в </w:t>
      </w:r>
      <w:proofErr w:type="spellStart"/>
      <w:r w:rsidR="00EC5E78" w:rsidRPr="007526DF">
        <w:rPr>
          <w:b/>
        </w:rPr>
        <w:t>общеврачебн</w:t>
      </w:r>
      <w:r w:rsidR="00EC5E78">
        <w:rPr>
          <w:b/>
        </w:rPr>
        <w:t>ой</w:t>
      </w:r>
      <w:proofErr w:type="spellEnd"/>
      <w:r w:rsidR="00EC5E78" w:rsidRPr="007526DF">
        <w:rPr>
          <w:b/>
        </w:rPr>
        <w:t xml:space="preserve"> практике</w:t>
      </w:r>
      <w:r w:rsidR="00EC5E78" w:rsidRPr="00A601F4">
        <w:rPr>
          <w:bCs/>
        </w:rPr>
        <w:t>»</w:t>
      </w:r>
      <w:r w:rsidR="00EC5E78" w:rsidRPr="00F371C3">
        <w:t xml:space="preserve"> </w:t>
      </w:r>
      <w:r w:rsidR="00EC5E78">
        <w:rPr>
          <w:bCs/>
        </w:rPr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proofErr w:type="spellStart"/>
      <w:r w:rsidR="00EC5E78" w:rsidRPr="007526DF">
        <w:rPr>
          <w:b/>
        </w:rPr>
        <w:t>Люм</w:t>
      </w:r>
      <w:r w:rsidR="00C35E4B">
        <w:rPr>
          <w:b/>
        </w:rPr>
        <w:t>б</w:t>
      </w:r>
      <w:r w:rsidR="00EC5E78" w:rsidRPr="007526DF">
        <w:rPr>
          <w:b/>
        </w:rPr>
        <w:t>альная</w:t>
      </w:r>
      <w:proofErr w:type="spellEnd"/>
      <w:r w:rsidR="00EC5E78" w:rsidRPr="007526DF">
        <w:rPr>
          <w:b/>
        </w:rPr>
        <w:t xml:space="preserve"> пункция и </w:t>
      </w:r>
      <w:r w:rsidR="00EC5E78">
        <w:rPr>
          <w:b/>
        </w:rPr>
        <w:t xml:space="preserve">постановка </w:t>
      </w:r>
      <w:proofErr w:type="spellStart"/>
      <w:r w:rsidR="00EC5E78">
        <w:rPr>
          <w:b/>
        </w:rPr>
        <w:t>назогастрального</w:t>
      </w:r>
      <w:proofErr w:type="spellEnd"/>
      <w:r w:rsidR="00EC5E78">
        <w:rPr>
          <w:b/>
        </w:rPr>
        <w:t xml:space="preserve"> зонда в </w:t>
      </w:r>
      <w:proofErr w:type="spellStart"/>
      <w:r w:rsidR="00EC5E78" w:rsidRPr="007526DF">
        <w:rPr>
          <w:b/>
        </w:rPr>
        <w:t>общеврачебн</w:t>
      </w:r>
      <w:r w:rsidR="00EC5E78">
        <w:rPr>
          <w:b/>
        </w:rPr>
        <w:t>ой</w:t>
      </w:r>
      <w:proofErr w:type="spellEnd"/>
      <w:r w:rsidR="00EC5E78" w:rsidRPr="007526DF">
        <w:rPr>
          <w:b/>
        </w:rPr>
        <w:t xml:space="preserve"> практике</w:t>
      </w:r>
      <w:r w:rsidR="00EC5E78" w:rsidRPr="00A601F4">
        <w:rPr>
          <w:b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proofErr w:type="spellStart"/>
      <w:r w:rsidR="00EC5E78" w:rsidRPr="007526DF">
        <w:rPr>
          <w:b/>
        </w:rPr>
        <w:t>Люм</w:t>
      </w:r>
      <w:r w:rsidR="00C35E4B">
        <w:rPr>
          <w:b/>
        </w:rPr>
        <w:t>б</w:t>
      </w:r>
      <w:r w:rsidR="00EC5E78" w:rsidRPr="007526DF">
        <w:rPr>
          <w:b/>
        </w:rPr>
        <w:t>альная</w:t>
      </w:r>
      <w:proofErr w:type="spellEnd"/>
      <w:r w:rsidR="00EC5E78" w:rsidRPr="007526DF">
        <w:rPr>
          <w:b/>
        </w:rPr>
        <w:t xml:space="preserve"> пункция и </w:t>
      </w:r>
      <w:r w:rsidR="00EC5E78">
        <w:rPr>
          <w:b/>
        </w:rPr>
        <w:t xml:space="preserve">постановка </w:t>
      </w:r>
      <w:proofErr w:type="spellStart"/>
      <w:r w:rsidR="00EC5E78">
        <w:rPr>
          <w:b/>
        </w:rPr>
        <w:t>назогастрального</w:t>
      </w:r>
      <w:proofErr w:type="spellEnd"/>
      <w:r w:rsidR="00EC5E78">
        <w:rPr>
          <w:b/>
        </w:rPr>
        <w:t xml:space="preserve"> зонда в </w:t>
      </w:r>
      <w:proofErr w:type="spellStart"/>
      <w:r w:rsidR="00EC5E78" w:rsidRPr="007526DF">
        <w:rPr>
          <w:b/>
        </w:rPr>
        <w:t>общеврачебн</w:t>
      </w:r>
      <w:r w:rsidR="00EC5E78">
        <w:rPr>
          <w:b/>
        </w:rPr>
        <w:t>ой</w:t>
      </w:r>
      <w:proofErr w:type="spellEnd"/>
      <w:r w:rsidR="00EC5E78" w:rsidRPr="007526DF">
        <w:rPr>
          <w:b/>
        </w:rPr>
        <w:t xml:space="preserve"> практике</w:t>
      </w:r>
      <w:r w:rsidR="00EC5E78" w:rsidRPr="00A601F4">
        <w:rPr>
          <w:bCs/>
        </w:rPr>
        <w:t>»</w:t>
      </w:r>
      <w:r w:rsidRPr="00F371C3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D934D8" w:rsidRDefault="00D934D8" w:rsidP="00BD0BD8">
      <w:pPr>
        <w:numPr>
          <w:ilvl w:val="0"/>
          <w:numId w:val="1"/>
        </w:numPr>
      </w:pPr>
      <w:r>
        <w:t xml:space="preserve">тренажер-манекен для выполнения </w:t>
      </w:r>
      <w:proofErr w:type="spellStart"/>
      <w:r>
        <w:t>люмбальной</w:t>
      </w:r>
      <w:proofErr w:type="spellEnd"/>
      <w:r>
        <w:t xml:space="preserve"> пункции со сменными блоками</w:t>
      </w:r>
    </w:p>
    <w:p w:rsidR="00D934D8" w:rsidRDefault="00D934D8" w:rsidP="00BD0BD8">
      <w:pPr>
        <w:numPr>
          <w:ilvl w:val="0"/>
          <w:numId w:val="1"/>
        </w:numPr>
      </w:pPr>
      <w:r>
        <w:lastRenderedPageBreak/>
        <w:t xml:space="preserve">тренажер-манекен для отработки постановки </w:t>
      </w:r>
      <w:proofErr w:type="spellStart"/>
      <w:r>
        <w:t>назогастрального</w:t>
      </w:r>
      <w:proofErr w:type="spellEnd"/>
      <w:r>
        <w:t xml:space="preserve"> зонда</w:t>
      </w:r>
    </w:p>
    <w:p w:rsidR="00D934D8" w:rsidRPr="00F371C3" w:rsidRDefault="00D934D8" w:rsidP="00BD0BD8">
      <w:pPr>
        <w:numPr>
          <w:ilvl w:val="0"/>
          <w:numId w:val="1"/>
        </w:numPr>
      </w:pPr>
      <w:r>
        <w:t xml:space="preserve">учебные видео материалы с демонстрацией техники выполнения поясничного прокола и постановки </w:t>
      </w:r>
      <w:proofErr w:type="spellStart"/>
      <w:r>
        <w:t>назогастрального</w:t>
      </w:r>
      <w:proofErr w:type="spellEnd"/>
      <w:r>
        <w:t xml:space="preserve"> зонда</w:t>
      </w:r>
    </w:p>
    <w:p w:rsidR="00BD0BD8" w:rsidRPr="00F371C3" w:rsidRDefault="00BD0BD8" w:rsidP="00AD0EB7">
      <w:pPr>
        <w:jc w:val="both"/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D934D8" w:rsidRPr="00A601F4">
        <w:rPr>
          <w:bCs/>
        </w:rPr>
        <w:t>«</w:t>
      </w:r>
      <w:proofErr w:type="spellStart"/>
      <w:r w:rsidR="00D934D8" w:rsidRPr="007526DF">
        <w:rPr>
          <w:b/>
        </w:rPr>
        <w:t>Люм</w:t>
      </w:r>
      <w:r w:rsidR="00C35E4B">
        <w:rPr>
          <w:b/>
        </w:rPr>
        <w:t>б</w:t>
      </w:r>
      <w:r w:rsidR="00D934D8" w:rsidRPr="007526DF">
        <w:rPr>
          <w:b/>
        </w:rPr>
        <w:t>альная</w:t>
      </w:r>
      <w:proofErr w:type="spellEnd"/>
      <w:r w:rsidR="00D934D8" w:rsidRPr="007526DF">
        <w:rPr>
          <w:b/>
        </w:rPr>
        <w:t xml:space="preserve"> пункция и </w:t>
      </w:r>
      <w:r w:rsidR="00D934D8">
        <w:rPr>
          <w:b/>
        </w:rPr>
        <w:t xml:space="preserve">постановка </w:t>
      </w:r>
      <w:proofErr w:type="spellStart"/>
      <w:r w:rsidR="00D934D8">
        <w:rPr>
          <w:b/>
        </w:rPr>
        <w:t>назогастрального</w:t>
      </w:r>
      <w:proofErr w:type="spellEnd"/>
      <w:r w:rsidR="00D934D8">
        <w:rPr>
          <w:b/>
        </w:rPr>
        <w:t xml:space="preserve"> зонда в </w:t>
      </w:r>
      <w:proofErr w:type="spellStart"/>
      <w:r w:rsidR="00D934D8" w:rsidRPr="007526DF">
        <w:rPr>
          <w:b/>
        </w:rPr>
        <w:t>общеврачебн</w:t>
      </w:r>
      <w:r w:rsidR="00D934D8">
        <w:rPr>
          <w:b/>
        </w:rPr>
        <w:t>ой</w:t>
      </w:r>
      <w:proofErr w:type="spellEnd"/>
      <w:r w:rsidR="00D934D8" w:rsidRPr="007526DF">
        <w:rPr>
          <w:b/>
        </w:rPr>
        <w:t xml:space="preserve"> практике</w:t>
      </w:r>
      <w:r w:rsidR="00D934D8" w:rsidRPr="00A601F4">
        <w:rPr>
          <w:bCs/>
        </w:rPr>
        <w:t>»</w:t>
      </w:r>
      <w:r w:rsidRPr="00F371C3">
        <w:t>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AD0EB7" w:rsidRPr="00A601F4">
        <w:rPr>
          <w:bCs/>
        </w:rPr>
        <w:t>«</w:t>
      </w:r>
      <w:proofErr w:type="spellStart"/>
      <w:r w:rsidR="00D934D8" w:rsidRPr="007526DF">
        <w:rPr>
          <w:b/>
        </w:rPr>
        <w:t>Люм</w:t>
      </w:r>
      <w:r w:rsidR="00C35E4B">
        <w:rPr>
          <w:b/>
        </w:rPr>
        <w:t>б</w:t>
      </w:r>
      <w:bookmarkStart w:id="2" w:name="_GoBack"/>
      <w:bookmarkEnd w:id="2"/>
      <w:r w:rsidR="00D934D8" w:rsidRPr="007526DF">
        <w:rPr>
          <w:b/>
        </w:rPr>
        <w:t>альная</w:t>
      </w:r>
      <w:proofErr w:type="spellEnd"/>
      <w:r w:rsidR="00D934D8" w:rsidRPr="007526DF">
        <w:rPr>
          <w:b/>
        </w:rPr>
        <w:t xml:space="preserve"> пункция и </w:t>
      </w:r>
      <w:r w:rsidR="00D934D8">
        <w:rPr>
          <w:b/>
        </w:rPr>
        <w:t xml:space="preserve">постановка </w:t>
      </w:r>
      <w:proofErr w:type="spellStart"/>
      <w:r w:rsidR="00D934D8">
        <w:rPr>
          <w:b/>
        </w:rPr>
        <w:t>назогастрального</w:t>
      </w:r>
      <w:proofErr w:type="spellEnd"/>
      <w:r w:rsidR="00D934D8">
        <w:rPr>
          <w:b/>
        </w:rPr>
        <w:t xml:space="preserve"> зонда в </w:t>
      </w:r>
      <w:proofErr w:type="spellStart"/>
      <w:r w:rsidR="00D934D8" w:rsidRPr="007526DF">
        <w:rPr>
          <w:b/>
        </w:rPr>
        <w:t>общеврачебн</w:t>
      </w:r>
      <w:r w:rsidR="00D934D8">
        <w:rPr>
          <w:b/>
        </w:rPr>
        <w:t>ой</w:t>
      </w:r>
      <w:proofErr w:type="spellEnd"/>
      <w:r w:rsidR="00D934D8" w:rsidRPr="007526DF">
        <w:rPr>
          <w:b/>
        </w:rPr>
        <w:t xml:space="preserve"> практике</w:t>
      </w:r>
      <w:r w:rsidR="00AD0EB7" w:rsidRPr="00A601F4">
        <w:rPr>
          <w:bCs/>
        </w:rPr>
        <w:t>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 xml:space="preserve">, мануальной терапии, </w:t>
      </w:r>
      <w:proofErr w:type="spellStart"/>
      <w:r w:rsidR="00D934D8">
        <w:t>остеопатии</w:t>
      </w:r>
      <w:proofErr w:type="spellEnd"/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</w:t>
      </w:r>
      <w:r w:rsidR="000C1845">
        <w:t>и</w:t>
      </w:r>
      <w:r w:rsidR="007834F2">
        <w:t>литологи</w:t>
      </w:r>
      <w:r w:rsidR="000C1845">
        <w:t>и</w:t>
      </w:r>
      <w:proofErr w:type="spellEnd"/>
      <w:r w:rsidR="007834F2">
        <w:t>, мануальные терапевты</w:t>
      </w:r>
      <w:r w:rsidR="00D934D8">
        <w:t>, остеопаты.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>Клинические проявления и патогенез развития менингеального синдрома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D934D8" w:rsidP="00BD0BD8">
            <w:r>
              <w:t>Патологические состояния, при которых происходит поражение оболочек головного мозга.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D934D8" w:rsidP="00BD0BD8">
            <w:r>
              <w:t>Подготовка к проведению поясничного прокола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lastRenderedPageBreak/>
              <w:t>5</w:t>
            </w:r>
          </w:p>
        </w:tc>
        <w:tc>
          <w:tcPr>
            <w:tcW w:w="2380" w:type="pct"/>
          </w:tcPr>
          <w:p w:rsidR="00BD0BD8" w:rsidRPr="00E717A1" w:rsidRDefault="00D934D8" w:rsidP="00BD0BD8">
            <w:r>
              <w:t xml:space="preserve">Техника выполнения </w:t>
            </w:r>
            <w:proofErr w:type="spellStart"/>
            <w:r>
              <w:t>люмбальной</w:t>
            </w:r>
            <w:proofErr w:type="spellEnd"/>
            <w:r>
              <w:t xml:space="preserve"> пункции:</w:t>
            </w:r>
            <w:r w:rsidR="00DD365B">
              <w:t xml:space="preserve"> </w:t>
            </w:r>
            <w:r>
              <w:t xml:space="preserve">асептика и антисептика, костные ориентиры, анестезия, направление продвижения иглы. Сбор материала и маркировка. </w:t>
            </w:r>
            <w:proofErr w:type="spellStart"/>
            <w:r>
              <w:t>Постпункционное</w:t>
            </w:r>
            <w:proofErr w:type="spellEnd"/>
            <w:r>
              <w:t xml:space="preserve"> ведение больного.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D934D8" w:rsidP="00415F71">
            <w:r>
              <w:rPr>
                <w:bCs/>
              </w:rPr>
              <w:t xml:space="preserve">Нарушение глотания. Механизмы </w:t>
            </w:r>
            <w:r w:rsidR="003C3DCD">
              <w:rPr>
                <w:bCs/>
              </w:rPr>
              <w:t>обеспечения продвижения пищи в верхних отделах пищеварительной</w:t>
            </w:r>
            <w:r w:rsidR="000C1845">
              <w:rPr>
                <w:bCs/>
              </w:rPr>
              <w:t xml:space="preserve"> </w:t>
            </w:r>
            <w:r w:rsidR="003C3DCD">
              <w:rPr>
                <w:bCs/>
              </w:rPr>
              <w:t>трубки</w:t>
            </w:r>
            <w:r w:rsidR="00DD365B" w:rsidRPr="00E717A1">
              <w:rPr>
                <w:bCs/>
              </w:rPr>
              <w:t>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3C3DCD" w:rsidP="00415F71">
            <w:r>
              <w:t xml:space="preserve">Показания и противопоказания для постановки </w:t>
            </w:r>
            <w:proofErr w:type="spellStart"/>
            <w:r>
              <w:t>назогастрального</w:t>
            </w:r>
            <w:proofErr w:type="spellEnd"/>
            <w:r>
              <w:t xml:space="preserve"> зонда</w:t>
            </w:r>
            <w:r w:rsidR="00DF0A9C">
              <w:t>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3C3DCD" w:rsidP="00415F71">
            <w:r>
              <w:t xml:space="preserve">Методология контроля нахождения зонда в желудке (12-ти перстной кишке) возможные трудности, особенности </w:t>
            </w:r>
            <w:proofErr w:type="spellStart"/>
            <w:r>
              <w:t>нутритивной</w:t>
            </w:r>
            <w:proofErr w:type="spellEnd"/>
            <w:r>
              <w:t xml:space="preserve"> поддержки при дисфагиях</w:t>
            </w:r>
            <w:r w:rsidR="00DF0A9C">
              <w:t>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 xml:space="preserve">1. </w:t>
      </w:r>
      <w:proofErr w:type="spellStart"/>
      <w:r w:rsidRPr="00933743">
        <w:rPr>
          <w:bCs/>
          <w:color w:val="000000" w:themeColor="text1"/>
        </w:rPr>
        <w:t>Скоромец</w:t>
      </w:r>
      <w:proofErr w:type="spellEnd"/>
      <w:r w:rsidRPr="00933743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Pr="00933743">
        <w:rPr>
          <w:bCs/>
          <w:color w:val="000000" w:themeColor="text1"/>
        </w:rPr>
        <w:t>Медпресс-информ</w:t>
      </w:r>
      <w:proofErr w:type="spellEnd"/>
      <w:r w:rsidRPr="00933743">
        <w:rPr>
          <w:bCs/>
          <w:color w:val="000000" w:themeColor="text1"/>
        </w:rPr>
        <w:t>», Москва, - 2007. - 552с.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 xml:space="preserve">2. Неврология и нейрохирургия: клинические рекомендации. 2007./Под ред. </w:t>
      </w:r>
      <w:proofErr w:type="spellStart"/>
      <w:r w:rsidRPr="00933743">
        <w:rPr>
          <w:bCs/>
          <w:color w:val="000000" w:themeColor="text1"/>
        </w:rPr>
        <w:t>ГусеваЕИ</w:t>
      </w:r>
      <w:proofErr w:type="spellEnd"/>
      <w:r w:rsidRPr="00933743">
        <w:rPr>
          <w:bCs/>
          <w:color w:val="000000" w:themeColor="text1"/>
        </w:rPr>
        <w:t xml:space="preserve"> -М.ГЭОТАР-Медиа-368с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3. Неврологические симптомы, синдромы и болезни. Справочник. – М: ГЭОТАР – 2007.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4. Терапия хронической боли. - М: ГЭОТАР – 2007.</w:t>
      </w:r>
    </w:p>
    <w:p w:rsidR="00415F71" w:rsidRPr="00933743" w:rsidRDefault="00415F71" w:rsidP="00415F71">
      <w:pPr>
        <w:rPr>
          <w:bCs/>
          <w:color w:val="000000" w:themeColor="text1"/>
        </w:rPr>
      </w:pPr>
      <w:r w:rsidRPr="00933743">
        <w:rPr>
          <w:bCs/>
          <w:color w:val="000000" w:themeColor="text1"/>
        </w:rPr>
        <w:t>5. Болезни нервной системы. В 2-х томах. - М: ГЭОТАР – 2007.</w:t>
      </w:r>
    </w:p>
    <w:p w:rsidR="00BD0BD8" w:rsidRPr="00933743" w:rsidRDefault="00415F71" w:rsidP="00415F71">
      <w:pPr>
        <w:rPr>
          <w:color w:val="000000" w:themeColor="text1"/>
        </w:rPr>
      </w:pPr>
      <w:r w:rsidRPr="00933743">
        <w:rPr>
          <w:bCs/>
          <w:color w:val="000000" w:themeColor="text1"/>
        </w:rPr>
        <w:t>6.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 [Текст]: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–Медиа,2006.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6A0FDF" w:rsidP="00415F71">
      <w:pPr>
        <w:rPr>
          <w:color w:val="000000" w:themeColor="text1"/>
        </w:rPr>
      </w:pPr>
      <w:r w:rsidRPr="00933743">
        <w:rPr>
          <w:color w:val="000000" w:themeColor="text1"/>
        </w:rPr>
        <w:t>7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415F71" w:rsidP="00415F71">
      <w:pPr>
        <w:rPr>
          <w:color w:val="000000" w:themeColor="text1"/>
        </w:rPr>
      </w:pPr>
      <w:r w:rsidRPr="00933743">
        <w:rPr>
          <w:color w:val="000000" w:themeColor="text1"/>
        </w:rPr>
        <w:t>8. Сосудистые заболевания головного мозга. - М: ГЭОТАР – 2007.</w:t>
      </w:r>
    </w:p>
    <w:p w:rsidR="00BD0BD8" w:rsidRPr="00933743" w:rsidRDefault="00415F71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9. </w:t>
      </w:r>
      <w:proofErr w:type="spellStart"/>
      <w:proofErr w:type="gramStart"/>
      <w:r w:rsidRPr="00933743">
        <w:rPr>
          <w:color w:val="000000" w:themeColor="text1"/>
        </w:rPr>
        <w:t>Кранио-вертебральная</w:t>
      </w:r>
      <w:proofErr w:type="spellEnd"/>
      <w:proofErr w:type="gramEnd"/>
      <w:r w:rsidRPr="00933743">
        <w:rPr>
          <w:color w:val="000000" w:themeColor="text1"/>
        </w:rPr>
        <w:t xml:space="preserve">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10.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С.Е., Конева Е.С., Сидякина И.В. </w:t>
      </w:r>
      <w:proofErr w:type="spellStart"/>
      <w:r w:rsidRPr="00933743">
        <w:rPr>
          <w:color w:val="000000" w:themeColor="text1"/>
        </w:rPr>
        <w:t>Компплексная</w:t>
      </w:r>
      <w:proofErr w:type="spellEnd"/>
      <w:r w:rsidRPr="00933743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933743">
        <w:rPr>
          <w:color w:val="000000" w:themeColor="text1"/>
        </w:rPr>
        <w:t>спастичностью</w:t>
      </w:r>
      <w:proofErr w:type="spellEnd"/>
      <w:r w:rsidRPr="00933743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933743">
        <w:rPr>
          <w:color w:val="000000" w:themeColor="text1"/>
        </w:rPr>
        <w:t>Минздравсоцразвития</w:t>
      </w:r>
      <w:proofErr w:type="spellEnd"/>
      <w:r w:rsidRPr="00933743">
        <w:rPr>
          <w:color w:val="000000" w:themeColor="text1"/>
        </w:rPr>
        <w:t xml:space="preserve">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11. Орлова О.Р., </w:t>
      </w:r>
      <w:proofErr w:type="spellStart"/>
      <w:r w:rsidRPr="00933743">
        <w:rPr>
          <w:color w:val="000000" w:themeColor="text1"/>
        </w:rPr>
        <w:t>Тимербаева</w:t>
      </w:r>
      <w:proofErr w:type="spellEnd"/>
      <w:r w:rsidRPr="00933743">
        <w:rPr>
          <w:color w:val="000000" w:themeColor="text1"/>
        </w:rPr>
        <w:t xml:space="preserve"> С.Л.,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 и др. </w:t>
      </w:r>
      <w:proofErr w:type="spellStart"/>
      <w:r w:rsidRPr="00933743">
        <w:rPr>
          <w:color w:val="000000" w:themeColor="text1"/>
        </w:rPr>
        <w:t>Ботулинотерапия</w:t>
      </w:r>
      <w:proofErr w:type="spellEnd"/>
      <w:r w:rsidRPr="00933743">
        <w:rPr>
          <w:color w:val="000000" w:themeColor="text1"/>
        </w:rPr>
        <w:t xml:space="preserve"> в клинической практике. В кн.: Голубев В.Л. редактор. Избранные лекции по неврологии. Том 2. Москва: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12.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13.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 xml:space="preserve">14. Кадыков А.С., Манвелова Л.С. Тесты и шкалы в неврологии: руководство для врачей. – 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7A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F7"/>
    <w:rsid w:val="000078FD"/>
    <w:rsid w:val="000554F7"/>
    <w:rsid w:val="000C1845"/>
    <w:rsid w:val="001E0423"/>
    <w:rsid w:val="002A0D55"/>
    <w:rsid w:val="0031283D"/>
    <w:rsid w:val="003C00C3"/>
    <w:rsid w:val="003C3DCD"/>
    <w:rsid w:val="003C66F0"/>
    <w:rsid w:val="003D3455"/>
    <w:rsid w:val="00415F71"/>
    <w:rsid w:val="004E65D5"/>
    <w:rsid w:val="005E3509"/>
    <w:rsid w:val="00637D9D"/>
    <w:rsid w:val="00655B82"/>
    <w:rsid w:val="00672BD6"/>
    <w:rsid w:val="006A0FDF"/>
    <w:rsid w:val="006A3BDB"/>
    <w:rsid w:val="006E14E6"/>
    <w:rsid w:val="006F4E5F"/>
    <w:rsid w:val="007526DF"/>
    <w:rsid w:val="007834F2"/>
    <w:rsid w:val="007934E3"/>
    <w:rsid w:val="00793C4D"/>
    <w:rsid w:val="007A6944"/>
    <w:rsid w:val="00854F60"/>
    <w:rsid w:val="00933743"/>
    <w:rsid w:val="00961075"/>
    <w:rsid w:val="009E57BF"/>
    <w:rsid w:val="00A601F4"/>
    <w:rsid w:val="00AC1DE8"/>
    <w:rsid w:val="00AD0EB7"/>
    <w:rsid w:val="00B039E9"/>
    <w:rsid w:val="00B07A79"/>
    <w:rsid w:val="00B5547E"/>
    <w:rsid w:val="00B70005"/>
    <w:rsid w:val="00B81F72"/>
    <w:rsid w:val="00BD0BD8"/>
    <w:rsid w:val="00C31535"/>
    <w:rsid w:val="00C35E4B"/>
    <w:rsid w:val="00C66214"/>
    <w:rsid w:val="00C805DB"/>
    <w:rsid w:val="00D934D8"/>
    <w:rsid w:val="00DC32CE"/>
    <w:rsid w:val="00DD365B"/>
    <w:rsid w:val="00DE4FE1"/>
    <w:rsid w:val="00DE641D"/>
    <w:rsid w:val="00DF0A9C"/>
    <w:rsid w:val="00E4344A"/>
    <w:rsid w:val="00E717A1"/>
    <w:rsid w:val="00EC5E78"/>
    <w:rsid w:val="00F25EB2"/>
    <w:rsid w:val="00F371C3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5C8A-1326-4068-B5E9-204DC64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2019-02-26T08:32:00Z</dcterms:created>
  <dcterms:modified xsi:type="dcterms:W3CDTF">2019-02-26T08:32:00Z</dcterms:modified>
</cp:coreProperties>
</file>